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adjustRightInd/>
        <w:snapToGrid/>
        <w:spacing w:after="0"/>
        <w:jc w:val="left"/>
        <w:outlineLvl w:val="4"/>
        <w:rPr>
          <w:rFonts w:hint="eastAsia" w:ascii="仿宋" w:hAnsi="仿宋" w:eastAsia="仿宋" w:cs="仿宋"/>
          <w:b w:val="0"/>
          <w:bCs/>
          <w:kern w:val="2"/>
          <w:sz w:val="32"/>
          <w:szCs w:val="32"/>
          <w:lang w:val="en-US" w:eastAsia="zh-CN"/>
        </w:rPr>
      </w:pPr>
      <w:r>
        <w:rPr>
          <w:rFonts w:hint="eastAsia" w:ascii="仿宋" w:hAnsi="仿宋" w:eastAsia="仿宋" w:cs="仿宋"/>
          <w:b w:val="0"/>
          <w:bCs/>
          <w:kern w:val="2"/>
          <w:sz w:val="32"/>
          <w:szCs w:val="32"/>
          <w:lang w:eastAsia="zh-CN"/>
        </w:rPr>
        <w:t>附件</w:t>
      </w:r>
      <w:r>
        <w:rPr>
          <w:rFonts w:hint="eastAsia" w:ascii="仿宋" w:hAnsi="仿宋" w:eastAsia="仿宋" w:cs="仿宋"/>
          <w:b w:val="0"/>
          <w:bCs/>
          <w:kern w:val="2"/>
          <w:sz w:val="32"/>
          <w:szCs w:val="32"/>
          <w:lang w:val="en-US" w:eastAsia="zh-CN"/>
        </w:rPr>
        <w:t>1</w:t>
      </w:r>
    </w:p>
    <w:p>
      <w:pPr>
        <w:shd w:val="clear" w:color="auto" w:fill="FFFFFF"/>
        <w:adjustRightInd/>
        <w:snapToGrid/>
        <w:spacing w:after="0"/>
        <w:jc w:val="left"/>
        <w:outlineLvl w:val="4"/>
        <w:rPr>
          <w:rFonts w:hint="eastAsia" w:ascii="仿宋" w:hAnsi="仿宋" w:eastAsia="仿宋" w:cs="仿宋"/>
          <w:b w:val="0"/>
          <w:bCs/>
          <w:kern w:val="2"/>
          <w:sz w:val="32"/>
          <w:szCs w:val="32"/>
          <w:lang w:val="en-US" w:eastAsia="zh-CN"/>
        </w:rPr>
      </w:pPr>
    </w:p>
    <w:p>
      <w:pPr>
        <w:shd w:val="clear" w:color="auto" w:fill="FFFFFF"/>
        <w:adjustRightInd/>
        <w:snapToGrid/>
        <w:spacing w:after="0"/>
        <w:jc w:val="center"/>
        <w:outlineLvl w:val="4"/>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rPr>
        <w:t>安徽大学艺术与传媒学院排课、</w:t>
      </w:r>
    </w:p>
    <w:p>
      <w:pPr>
        <w:shd w:val="clear" w:color="auto" w:fill="FFFFFF"/>
        <w:adjustRightInd/>
        <w:snapToGrid/>
        <w:spacing w:after="0"/>
        <w:jc w:val="center"/>
        <w:outlineLvl w:val="4"/>
        <w:rPr>
          <w:rFonts w:hint="eastAsia" w:ascii="方正小标宋简体" w:hAnsi="方正小标宋简体" w:eastAsia="方正小标宋简体" w:cs="方正小标宋简体"/>
          <w:b w:val="0"/>
          <w:bCs/>
          <w:kern w:val="2"/>
          <w:sz w:val="32"/>
          <w:szCs w:val="32"/>
        </w:rPr>
      </w:pPr>
      <w:r>
        <w:rPr>
          <w:rFonts w:hint="eastAsia" w:ascii="方正小标宋简体" w:hAnsi="方正小标宋简体" w:eastAsia="方正小标宋简体" w:cs="方正小标宋简体"/>
          <w:b w:val="0"/>
          <w:bCs/>
          <w:kern w:val="2"/>
          <w:sz w:val="44"/>
          <w:szCs w:val="44"/>
        </w:rPr>
        <w:t>调（停）课管理暂行规定</w:t>
      </w:r>
    </w:p>
    <w:p>
      <w:pPr>
        <w:shd w:val="clear" w:color="auto" w:fill="FFFFFF"/>
        <w:adjustRightInd/>
        <w:snapToGrid/>
        <w:spacing w:after="0" w:line="240" w:lineRule="exact"/>
        <w:jc w:val="both"/>
        <w:rPr>
          <w:rFonts w:ascii="仿宋_GB2312" w:hAnsi="宋体" w:eastAsia="仿宋_GB2312" w:cs="宋体"/>
          <w:b w:val="0"/>
          <w:bCs/>
          <w:color w:val="333333"/>
          <w:sz w:val="13"/>
          <w:szCs w:val="13"/>
        </w:rPr>
      </w:pPr>
    </w:p>
    <w:p>
      <w:pPr>
        <w:pStyle w:val="5"/>
        <w:spacing w:line="240" w:lineRule="auto"/>
        <w:ind w:firstLine="560"/>
        <w:rPr>
          <w:rFonts w:hint="eastAsia" w:ascii="仿宋" w:hAnsi="仿宋" w:eastAsia="仿宋" w:cs="仿宋"/>
          <w:sz w:val="32"/>
          <w:szCs w:val="32"/>
        </w:rPr>
      </w:pPr>
      <w:r>
        <w:rPr>
          <w:rFonts w:hint="eastAsia" w:ascii="仿宋" w:hAnsi="仿宋" w:eastAsia="仿宋" w:cs="仿宋"/>
          <w:sz w:val="32"/>
          <w:szCs w:val="32"/>
        </w:rPr>
        <w:t>为进一步规范教学管理，合理配置教学资源，保证教育教学质量，结合学院教学实际，现对学院的排课、调（停）课管理作以下规定：</w:t>
      </w:r>
    </w:p>
    <w:p>
      <w:pPr>
        <w:shd w:val="clear" w:color="auto" w:fill="FFFFFF"/>
        <w:spacing w:after="0"/>
        <w:ind w:firstLine="562"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一、排课管理规定</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第一条 学院教务与学生工作部负责统筹全院教育资源，协调各单位教学需求，进行课表的统一编排。课表编排应遵循教育教学规律，以提高教学质量，保证学生学习效果为前提。在课表编排前，各教学系部应提前做好以下工作：</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1、依据各专业人才培养方案确定学期实施性教学计划。如因教学需要等原因需要适度调整教学计划，应由教学系部提前提出申请，送教务与学生工作部审核并报分管教学院长批准完成教学计划的变更。</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2、由教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依据实施性教学计划收集教师教学时间、教学场所等需求信息，并在教务与学生工作部统一排课前上报。校外聘请教师在不影响专业教学的情况下，可对上课时间提出合理要求；学院内部教师须首先服从学院教学任务的安排，不得对排课提出特殊要求。对需分组进行小课教学的专业或课程，应由授课教师提出申请，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行政秘书协同教师排定小课表并报教务与学生工作部一并安排。</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第二条 课表的编排应严格遵循教学规律，注意每周和每日课程的均衡性与对称性，避免出现疏密不均的情况，编排需遵循以下基本要求：</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1、合班课程由教务与学生工作部依据课程性质、学生人数及教学场所统一确定；</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2、同一门课程同一班级原则上不能安排一天授课两次</w:t>
      </w:r>
    </w:p>
    <w:p>
      <w:pPr>
        <w:shd w:val="clear" w:color="auto" w:fill="FFFFFF"/>
        <w:spacing w:after="0"/>
        <w:jc w:val="both"/>
        <w:rPr>
          <w:rFonts w:hint="eastAsia" w:ascii="仿宋" w:hAnsi="仿宋" w:eastAsia="仿宋" w:cs="仿宋"/>
          <w:snapToGrid w:val="0"/>
          <w:color w:val="333333"/>
          <w:sz w:val="32"/>
          <w:szCs w:val="32"/>
        </w:rPr>
      </w:pPr>
      <w:bookmarkStart w:id="0" w:name="_GoBack"/>
      <w:bookmarkEnd w:id="0"/>
      <w:r>
        <w:rPr>
          <w:rFonts w:hint="eastAsia" w:ascii="仿宋" w:hAnsi="仿宋" w:eastAsia="仿宋" w:cs="仿宋"/>
          <w:snapToGrid w:val="0"/>
          <w:color w:val="333333"/>
          <w:sz w:val="32"/>
          <w:szCs w:val="32"/>
        </w:rPr>
        <w:t>或者两次以上；两次或三次授课时间间隔应科学合理，不得过于集中或分散。</w:t>
      </w:r>
    </w:p>
    <w:p>
      <w:pPr>
        <w:pStyle w:val="2"/>
        <w:spacing w:after="0"/>
        <w:ind w:left="0" w:leftChars="0"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第三条 为确保课程教学执行稳定、课表准确无误，课表初稿编排后发至各系，各系教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行政秘书应认真校阅，如发现与原下达的教学任务的学时、班级不符或所需的教学手段不能满足等问题，应将意见填写在课表初稿上，及时反馈给教学与学生工作部。</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第四条 教务与学生工作部于开课前将学期课表定稿发放至各教学系部及专业教学场所管理人员。系部教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行政秘书负责通知到教师，学生管理秘书负责通知到授课班级，专业教学场所管理人员负责设备的维护及开放，做好教学保障工作。</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第五条 学院课表一经确定，必须严格执行。未经审批，任何单位和个人不得擅自更改上课时间、地点或更换教师。教师个人不得以讨论课、实践课为名变相停课，不得提前结束课程。如确需停课或提前结束课程的，教师应提出书面报告，经教学系部签署意见后，送教务与学生工作部审核，报分管院长批准。</w:t>
      </w:r>
    </w:p>
    <w:p>
      <w:pPr>
        <w:shd w:val="clear" w:color="auto" w:fill="FFFFFF"/>
        <w:spacing w:after="0"/>
        <w:ind w:firstLine="621" w:firstLineChars="221"/>
        <w:jc w:val="both"/>
        <w:rPr>
          <w:rFonts w:hint="eastAsia" w:ascii="仿宋" w:hAnsi="仿宋" w:eastAsia="仿宋" w:cs="仿宋"/>
          <w:b/>
          <w:snapToGrid w:val="0"/>
          <w:color w:val="333333"/>
          <w:sz w:val="32"/>
          <w:szCs w:val="32"/>
        </w:rPr>
      </w:pPr>
      <w:r>
        <w:rPr>
          <w:rFonts w:hint="eastAsia" w:ascii="仿宋" w:hAnsi="仿宋" w:eastAsia="仿宋" w:cs="仿宋"/>
          <w:b/>
          <w:snapToGrid w:val="0"/>
          <w:color w:val="333333"/>
          <w:sz w:val="32"/>
          <w:szCs w:val="32"/>
        </w:rPr>
        <w:t>二、调（停）课管理规定</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第一条 教师应严格按课表安排上课，原则上不得调（停）课。坚决杜绝教师因个人原因调整教学时间。</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第二条 在教学过程中，遇下列情况之一者，可以申请临时调（停）课或请人代课：</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1、节假日或遇学院组织的大型活动，由学院教务与学生工作部根据学院综合办公室有关文件通知教学系部需要调（停）课的；</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2、任课教师经批准出席学术会议或其他公差；</w:t>
      </w:r>
    </w:p>
    <w:p>
      <w:pPr>
        <w:shd w:val="clear" w:color="auto" w:fill="FFFFFF"/>
        <w:spacing w:after="0"/>
        <w:jc w:val="both"/>
        <w:rPr>
          <w:rFonts w:hint="eastAsia" w:ascii="仿宋" w:hAnsi="仿宋" w:eastAsia="仿宋" w:cs="仿宋"/>
          <w:snapToGrid w:val="0"/>
          <w:color w:val="333333"/>
          <w:spacing w:val="-18"/>
          <w:sz w:val="32"/>
          <w:szCs w:val="32"/>
        </w:rPr>
      </w:pPr>
      <w:r>
        <w:rPr>
          <w:rFonts w:hint="eastAsia" w:ascii="仿宋" w:hAnsi="仿宋" w:eastAsia="仿宋" w:cs="仿宋"/>
          <w:snapToGrid w:val="0"/>
          <w:color w:val="333333"/>
          <w:spacing w:val="-18"/>
          <w:sz w:val="32"/>
          <w:szCs w:val="32"/>
          <w:lang w:val="en-US" w:eastAsia="zh-CN"/>
        </w:rPr>
        <w:t xml:space="preserve">     </w:t>
      </w:r>
      <w:r>
        <w:rPr>
          <w:rFonts w:hint="eastAsia" w:ascii="仿宋" w:hAnsi="仿宋" w:eastAsia="仿宋" w:cs="仿宋"/>
          <w:snapToGrid w:val="0"/>
          <w:color w:val="333333"/>
          <w:spacing w:val="-10"/>
          <w:sz w:val="32"/>
          <w:szCs w:val="32"/>
        </w:rPr>
        <w:t>3、学院、系（部）临时安排重大活动需调（停）课的；</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4、教室的设施条件达不到教学要求；</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5、因本人生病或主要亲友重大疾病等特殊原因，确需调课或请人代课。</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 xml:space="preserve">第三条 代课教师须是正在开设相同课程或曾经担任相同课程主讲的教师。 </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第四条 调（停）课的手续办理：</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1、调（停）课手续须提前一天办理。每位授课教师每学期调（停）课原则上不超过2次，超过2次，年度教学考核不得评为优秀。</w:t>
      </w:r>
    </w:p>
    <w:p>
      <w:pPr>
        <w:shd w:val="clear" w:color="auto" w:fill="FFFFFF"/>
        <w:tabs>
          <w:tab w:val="left" w:pos="4320"/>
        </w:tabs>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2、需要调（停）课时，由教师本人填写《调课审批单》提出申请并提供相关佐证材料（医疗证明、经批准的参会通知等），同时提出合理可行的调课方案。如教师本人不能办理，可请人代为办理；对符合调（停）课条件并遇特殊情况来不及提前办理手续的，需教师本人电话向所在系部主任（负责人）提出调（停）课申请，经同意后，方可委托系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行政秘书配合教务与学生工作部办理调（停）课事宜，并于事后第一时间补办调（停）课手续。</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3、教师调课后，应无条件兑现补课安排，不得再以任何理由拖延，以免影响教学进度。教师所在系有权对教师补课情况进行核实，同时依据教学信息员课堂记录对补课情况进行确认。补课时间不得过分集中，以免造成学生负担过重，影响教学效果。</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4、《调课审批单》一式两份，教师完成审批手续后，一份由系部教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行政秘书留存，一份交教务与学生工作部留存。调（停）课通知由所在系教</w:t>
      </w:r>
      <w:r>
        <w:rPr>
          <w:rFonts w:hint="eastAsia" w:ascii="仿宋" w:hAnsi="仿宋" w:eastAsia="仿宋" w:cs="仿宋"/>
          <w:snapToGrid w:val="0"/>
          <w:color w:val="333333"/>
          <w:sz w:val="32"/>
          <w:szCs w:val="32"/>
          <w:lang w:eastAsia="zh-CN"/>
        </w:rPr>
        <w:t>务</w:t>
      </w:r>
      <w:r>
        <w:rPr>
          <w:rFonts w:hint="eastAsia" w:ascii="仿宋" w:hAnsi="仿宋" w:eastAsia="仿宋" w:cs="仿宋"/>
          <w:snapToGrid w:val="0"/>
          <w:color w:val="333333"/>
          <w:sz w:val="32"/>
          <w:szCs w:val="32"/>
        </w:rPr>
        <w:t>行政秘书通知相关班级班主任，并由班主任及时通知到学生。</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5、教师因故不能上课时间超过两周，原则上应由教学系部安排其他教师代课，并报教务与学生工作部。</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6、教学系部更换任课教师，需以文字材料报教务与学生工作部备案。任何部门或个人不得擅自停课、调课或更换任课教师。</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本办法自2014年11月1日试行。本办法解释权在教务与学生工作部。</w:t>
      </w:r>
    </w:p>
    <w:p>
      <w:pPr>
        <w:shd w:val="clear" w:color="auto" w:fill="FFFFFF"/>
        <w:spacing w:after="0"/>
        <w:ind w:firstLine="560" w:firstLineChars="200"/>
        <w:jc w:val="both"/>
        <w:rPr>
          <w:rFonts w:hint="eastAsia" w:ascii="仿宋" w:hAnsi="仿宋" w:eastAsia="仿宋" w:cs="仿宋"/>
          <w:snapToGrid w:val="0"/>
          <w:color w:val="333333"/>
          <w:sz w:val="32"/>
          <w:szCs w:val="32"/>
        </w:rPr>
      </w:pPr>
      <w:r>
        <w:rPr>
          <w:rFonts w:hint="eastAsia" w:ascii="仿宋" w:hAnsi="仿宋" w:eastAsia="仿宋" w:cs="仿宋"/>
          <w:snapToGrid w:val="0"/>
          <w:color w:val="333333"/>
          <w:sz w:val="32"/>
          <w:szCs w:val="32"/>
        </w:rPr>
        <w:t>对违反上述规定的，视情节按《安徽大学艺术与传媒学院教学事故认定与处理暂行办法》</w:t>
      </w:r>
      <w:r>
        <w:rPr>
          <w:rFonts w:hint="eastAsia" w:ascii="仿宋" w:hAnsi="仿宋" w:eastAsia="仿宋" w:cs="仿宋"/>
          <w:snapToGrid w:val="0"/>
          <w:color w:val="333333"/>
          <w:sz w:val="32"/>
          <w:szCs w:val="32"/>
          <w:lang w:eastAsia="zh-CN"/>
        </w:rPr>
        <w:t>处理</w:t>
      </w:r>
      <w:r>
        <w:rPr>
          <w:rFonts w:hint="eastAsia" w:ascii="仿宋" w:hAnsi="仿宋" w:eastAsia="仿宋" w:cs="仿宋"/>
          <w:snapToGrid w:val="0"/>
          <w:color w:val="333333"/>
          <w:sz w:val="32"/>
          <w:szCs w:val="32"/>
        </w:rPr>
        <w:t>。</w:t>
      </w:r>
    </w:p>
    <w:p>
      <w:pPr>
        <w:shd w:val="clear" w:color="auto" w:fill="FFFFFF"/>
        <w:spacing w:after="0"/>
        <w:ind w:firstLine="560" w:firstLineChars="200"/>
        <w:jc w:val="both"/>
        <w:rPr>
          <w:rFonts w:hint="eastAsia" w:ascii="仿宋" w:hAnsi="仿宋" w:eastAsia="仿宋" w:cs="仿宋"/>
          <w:snapToGrid w:val="0"/>
          <w:color w:val="333333"/>
          <w:sz w:val="32"/>
          <w:szCs w:val="32"/>
        </w:rPr>
      </w:pPr>
    </w:p>
    <w:p>
      <w:pPr>
        <w:shd w:val="clear" w:color="auto" w:fill="FFFFFF"/>
        <w:spacing w:after="0"/>
        <w:ind w:firstLine="562" w:firstLineChars="200"/>
        <w:jc w:val="right"/>
        <w:rPr>
          <w:rFonts w:hint="eastAsia" w:ascii="仿宋" w:hAnsi="仿宋" w:eastAsia="仿宋" w:cs="仿宋"/>
          <w:b/>
          <w:snapToGrid w:val="0"/>
          <w:color w:val="333333"/>
          <w:sz w:val="32"/>
          <w:szCs w:val="32"/>
        </w:rPr>
      </w:pPr>
      <w:r>
        <w:rPr>
          <w:rFonts w:hint="eastAsia" w:ascii="仿宋" w:hAnsi="仿宋" w:eastAsia="仿宋" w:cs="仿宋"/>
          <w:b/>
          <w:snapToGrid w:val="0"/>
          <w:color w:val="333333"/>
          <w:sz w:val="32"/>
          <w:szCs w:val="32"/>
        </w:rPr>
        <w:t>教务与学生工作部</w:t>
      </w:r>
    </w:p>
    <w:p>
      <w:pPr>
        <w:shd w:val="clear" w:color="auto" w:fill="FFFFFF"/>
        <w:spacing w:after="0"/>
        <w:ind w:right="280" w:firstLine="703" w:firstLineChars="250"/>
        <w:jc w:val="right"/>
        <w:rPr>
          <w:rFonts w:hint="eastAsia" w:ascii="仿宋" w:hAnsi="仿宋" w:eastAsia="仿宋" w:cs="仿宋"/>
          <w:b/>
          <w:snapToGrid w:val="0"/>
          <w:color w:val="333333"/>
          <w:sz w:val="32"/>
          <w:szCs w:val="32"/>
        </w:rPr>
      </w:pPr>
      <w:r>
        <w:rPr>
          <w:rFonts w:hint="eastAsia" w:ascii="仿宋" w:hAnsi="仿宋" w:eastAsia="仿宋" w:cs="仿宋"/>
          <w:b/>
          <w:snapToGrid w:val="0"/>
          <w:color w:val="333333"/>
          <w:sz w:val="32"/>
          <w:szCs w:val="32"/>
        </w:rPr>
        <w:t>2014年10月</w:t>
      </w:r>
    </w:p>
    <w:sectPr>
      <w:footerReference r:id="rId4" w:type="default"/>
      <w:footerReference r:id="rId5" w:type="even"/>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noLineBreaksAfter w:lang="zh-CN" w:val="$([{£¥·‘“〈《「『【〔〖〝﹙﹛﹝＄（．［｛￡￥"/>
  <w:noLineBreaksBefore w:lang="zh-CN" w:val="!%),.:;&gt;?]}¢¨°·ˇˉ―‖’”…‰′″›℃∶、。〃〉》」』】〕〗〞︶︺︾﹀﹄﹚﹜﹞！＂％＇），．：；？］｀｜｝～￠"/>
  <w:compat>
    <w:spaceForUL/>
    <w:doNotLeaveBackslashAlone/>
    <w:ulTrailSpace/>
    <w:splitPgBreakAndParaMark/>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0088C"/>
    <w:rsid w:val="0000560D"/>
    <w:rsid w:val="00006681"/>
    <w:rsid w:val="00093CB6"/>
    <w:rsid w:val="000C611C"/>
    <w:rsid w:val="000E19ED"/>
    <w:rsid w:val="000E61A5"/>
    <w:rsid w:val="00135DFD"/>
    <w:rsid w:val="00152A2B"/>
    <w:rsid w:val="0016722A"/>
    <w:rsid w:val="00181E83"/>
    <w:rsid w:val="00196CF9"/>
    <w:rsid w:val="001A1F4E"/>
    <w:rsid w:val="001B254F"/>
    <w:rsid w:val="001E21CD"/>
    <w:rsid w:val="001E331D"/>
    <w:rsid w:val="00206AED"/>
    <w:rsid w:val="00212F9D"/>
    <w:rsid w:val="002675F0"/>
    <w:rsid w:val="002A03CF"/>
    <w:rsid w:val="002A066C"/>
    <w:rsid w:val="002C201E"/>
    <w:rsid w:val="002E6B97"/>
    <w:rsid w:val="00301FD8"/>
    <w:rsid w:val="00323B43"/>
    <w:rsid w:val="00334523"/>
    <w:rsid w:val="00341403"/>
    <w:rsid w:val="00345C2C"/>
    <w:rsid w:val="00352B4D"/>
    <w:rsid w:val="00376522"/>
    <w:rsid w:val="003C15FF"/>
    <w:rsid w:val="003C6FF7"/>
    <w:rsid w:val="003D37D8"/>
    <w:rsid w:val="003E0DB9"/>
    <w:rsid w:val="00404A37"/>
    <w:rsid w:val="00426133"/>
    <w:rsid w:val="004358AB"/>
    <w:rsid w:val="0046322C"/>
    <w:rsid w:val="004C3AE0"/>
    <w:rsid w:val="00507560"/>
    <w:rsid w:val="0055034A"/>
    <w:rsid w:val="00560E82"/>
    <w:rsid w:val="00583A4D"/>
    <w:rsid w:val="0059427A"/>
    <w:rsid w:val="005A3C50"/>
    <w:rsid w:val="005D5D7E"/>
    <w:rsid w:val="005E51AB"/>
    <w:rsid w:val="005F3949"/>
    <w:rsid w:val="00663A0B"/>
    <w:rsid w:val="0069433F"/>
    <w:rsid w:val="006F3241"/>
    <w:rsid w:val="007246BE"/>
    <w:rsid w:val="0074037D"/>
    <w:rsid w:val="00766B33"/>
    <w:rsid w:val="007B6951"/>
    <w:rsid w:val="007D2E20"/>
    <w:rsid w:val="007D6D82"/>
    <w:rsid w:val="00864B09"/>
    <w:rsid w:val="008846C3"/>
    <w:rsid w:val="008A151F"/>
    <w:rsid w:val="008B7726"/>
    <w:rsid w:val="009475FA"/>
    <w:rsid w:val="0094774E"/>
    <w:rsid w:val="009927B5"/>
    <w:rsid w:val="00997A4A"/>
    <w:rsid w:val="009A45E7"/>
    <w:rsid w:val="009C1355"/>
    <w:rsid w:val="009C1815"/>
    <w:rsid w:val="009C356F"/>
    <w:rsid w:val="009E06F0"/>
    <w:rsid w:val="009F12B6"/>
    <w:rsid w:val="009F480F"/>
    <w:rsid w:val="00A175E7"/>
    <w:rsid w:val="00A22436"/>
    <w:rsid w:val="00A2619A"/>
    <w:rsid w:val="00A40B21"/>
    <w:rsid w:val="00A52BC6"/>
    <w:rsid w:val="00A53D67"/>
    <w:rsid w:val="00A603FE"/>
    <w:rsid w:val="00A65C15"/>
    <w:rsid w:val="00A80B2F"/>
    <w:rsid w:val="00AC1946"/>
    <w:rsid w:val="00AD27F2"/>
    <w:rsid w:val="00AD2B53"/>
    <w:rsid w:val="00AE6846"/>
    <w:rsid w:val="00AF341B"/>
    <w:rsid w:val="00B00150"/>
    <w:rsid w:val="00B1382C"/>
    <w:rsid w:val="00B31000"/>
    <w:rsid w:val="00B677B9"/>
    <w:rsid w:val="00B92505"/>
    <w:rsid w:val="00BB29DC"/>
    <w:rsid w:val="00BB5B52"/>
    <w:rsid w:val="00BC11B2"/>
    <w:rsid w:val="00BC126B"/>
    <w:rsid w:val="00BC4B7B"/>
    <w:rsid w:val="00BD6FAC"/>
    <w:rsid w:val="00C62281"/>
    <w:rsid w:val="00C85380"/>
    <w:rsid w:val="00CA262A"/>
    <w:rsid w:val="00CD6A2B"/>
    <w:rsid w:val="00D01643"/>
    <w:rsid w:val="00D31D50"/>
    <w:rsid w:val="00D43238"/>
    <w:rsid w:val="00D54400"/>
    <w:rsid w:val="00D94F56"/>
    <w:rsid w:val="00DD1C1F"/>
    <w:rsid w:val="00DE2F17"/>
    <w:rsid w:val="00E21946"/>
    <w:rsid w:val="00E26689"/>
    <w:rsid w:val="00E273E3"/>
    <w:rsid w:val="00E54417"/>
    <w:rsid w:val="00E76BE9"/>
    <w:rsid w:val="00E82343"/>
    <w:rsid w:val="00EA43CD"/>
    <w:rsid w:val="00EB4BE0"/>
    <w:rsid w:val="00EC745D"/>
    <w:rsid w:val="00EF421E"/>
    <w:rsid w:val="00F578EE"/>
    <w:rsid w:val="00F631BF"/>
    <w:rsid w:val="00F7434A"/>
    <w:rsid w:val="00F94053"/>
    <w:rsid w:val="00FD5837"/>
    <w:rsid w:val="417B0E9F"/>
    <w:rsid w:val="6C8B4D4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99" w:semiHidden="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Indent"/>
    <w:basedOn w:val="1"/>
    <w:link w:val="11"/>
    <w:uiPriority w:val="99"/>
    <w:pPr>
      <w:spacing w:after="120"/>
      <w:ind w:left="420" w:leftChars="200"/>
    </w:pPr>
  </w:style>
  <w:style w:type="paragraph" w:styleId="3">
    <w:name w:val="footer"/>
    <w:basedOn w:val="1"/>
    <w:link w:val="13"/>
    <w:semiHidden/>
    <w:uiPriority w:val="99"/>
    <w:pPr>
      <w:tabs>
        <w:tab w:val="center" w:pos="4153"/>
        <w:tab w:val="right" w:pos="8306"/>
      </w:tabs>
    </w:pPr>
    <w:rPr>
      <w:sz w:val="18"/>
      <w:szCs w:val="18"/>
    </w:rPr>
  </w:style>
  <w:style w:type="paragraph" w:styleId="4">
    <w:name w:val="header"/>
    <w:basedOn w:val="1"/>
    <w:link w:val="12"/>
    <w:semiHidden/>
    <w:uiPriority w:val="99"/>
    <w:pPr>
      <w:pBdr>
        <w:bottom w:val="single" w:color="auto" w:sz="6" w:space="1"/>
      </w:pBdr>
      <w:tabs>
        <w:tab w:val="center" w:pos="4153"/>
        <w:tab w:val="right" w:pos="8306"/>
      </w:tabs>
      <w:jc w:val="center"/>
    </w:pPr>
    <w:rPr>
      <w:sz w:val="18"/>
      <w:szCs w:val="18"/>
    </w:rPr>
  </w:style>
  <w:style w:type="paragraph" w:styleId="5">
    <w:name w:val="Body Text Indent 3"/>
    <w:basedOn w:val="1"/>
    <w:link w:val="10"/>
    <w:uiPriority w:val="99"/>
    <w:pPr>
      <w:widowControl w:val="0"/>
      <w:adjustRightInd/>
      <w:snapToGrid/>
      <w:spacing w:after="0" w:line="440" w:lineRule="exact"/>
      <w:ind w:firstLine="480" w:firstLineChars="200"/>
      <w:jc w:val="both"/>
    </w:pPr>
    <w:rPr>
      <w:rFonts w:ascii="方正书宋_GBK" w:hAnsi="宋体" w:eastAsia="方正书宋_GBK"/>
      <w:kern w:val="2"/>
      <w:sz w:val="24"/>
      <w:szCs w:val="24"/>
    </w:rPr>
  </w:style>
  <w:style w:type="character" w:styleId="7">
    <w:name w:val="page number"/>
    <w:basedOn w:val="6"/>
    <w:uiPriority w:val="99"/>
    <w:rPr>
      <w:rFonts w:cs="Times New Roman"/>
    </w:rPr>
  </w:style>
  <w:style w:type="paragraph" w:customStyle="1" w:styleId="9">
    <w:name w:val="List Paragraph"/>
    <w:basedOn w:val="1"/>
    <w:qFormat/>
    <w:uiPriority w:val="99"/>
    <w:pPr>
      <w:ind w:firstLine="420" w:firstLineChars="200"/>
    </w:pPr>
  </w:style>
  <w:style w:type="character" w:customStyle="1" w:styleId="10">
    <w:name w:val="Body Text Indent 3 Char"/>
    <w:basedOn w:val="6"/>
    <w:link w:val="5"/>
    <w:locked/>
    <w:uiPriority w:val="99"/>
    <w:rPr>
      <w:rFonts w:ascii="方正书宋_GBK" w:hAnsi="宋体" w:eastAsia="方正书宋_GBK" w:cs="Times New Roman"/>
      <w:kern w:val="2"/>
      <w:sz w:val="24"/>
      <w:szCs w:val="24"/>
    </w:rPr>
  </w:style>
  <w:style w:type="character" w:customStyle="1" w:styleId="11">
    <w:name w:val="Body Text Indent Char"/>
    <w:basedOn w:val="6"/>
    <w:link w:val="2"/>
    <w:locked/>
    <w:uiPriority w:val="99"/>
    <w:rPr>
      <w:rFonts w:ascii="Tahoma" w:hAnsi="Tahoma" w:cs="Times New Roman"/>
    </w:rPr>
  </w:style>
  <w:style w:type="character" w:customStyle="1" w:styleId="12">
    <w:name w:val="Header Char"/>
    <w:basedOn w:val="6"/>
    <w:link w:val="4"/>
    <w:semiHidden/>
    <w:locked/>
    <w:uiPriority w:val="99"/>
    <w:rPr>
      <w:rFonts w:ascii="Tahoma" w:hAnsi="Tahoma" w:cs="Times New Roman"/>
      <w:sz w:val="18"/>
      <w:szCs w:val="18"/>
    </w:rPr>
  </w:style>
  <w:style w:type="character" w:customStyle="1" w:styleId="13">
    <w:name w:val="Footer Char"/>
    <w:basedOn w:val="6"/>
    <w:link w:val="3"/>
    <w:semiHidden/>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290</Words>
  <Characters>1655</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2014-11-18T04:36:00Z</cp:lastPrinted>
  <dcterms:modified xsi:type="dcterms:W3CDTF">2014-11-18T04:36:07Z</dcterms:modified>
  <dc:title>安徽大学艺术与传媒学院排课、调（停）课管理暂行规定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